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38" w:rsidRDefault="00984238" w:rsidP="00984238">
      <w:pPr>
        <w:pStyle w:val="Cmsor2"/>
        <w:numPr>
          <w:ilvl w:val="0"/>
          <w:numId w:val="0"/>
        </w:numPr>
      </w:pPr>
      <w:bookmarkStart w:id="0" w:name="_Toc43457327"/>
      <w:r>
        <w:t>A PANASZKEZELÉS RENDJE</w:t>
      </w:r>
      <w:bookmarkEnd w:id="0"/>
    </w:p>
    <w:p w:rsidR="00984238" w:rsidRDefault="00984238" w:rsidP="00984238">
      <w:pPr>
        <w:spacing w:line="240" w:lineRule="auto"/>
      </w:pPr>
      <w:r>
        <w:t>1. A képző intézmény köteles a résztvevőt tájékoztatni</w:t>
      </w:r>
    </w:p>
    <w:p w:rsidR="00984238" w:rsidRDefault="00984238" w:rsidP="00984238">
      <w:pPr>
        <w:spacing w:line="240" w:lineRule="auto"/>
        <w:ind w:left="708"/>
      </w:pPr>
      <w:proofErr w:type="gramStart"/>
      <w:r>
        <w:t>a</w:t>
      </w:r>
      <w:proofErr w:type="gramEnd"/>
      <w:r>
        <w:t>) a székhelyéről,</w:t>
      </w:r>
    </w:p>
    <w:p w:rsidR="00984238" w:rsidRDefault="00984238" w:rsidP="00984238">
      <w:pPr>
        <w:spacing w:line="240" w:lineRule="auto"/>
        <w:ind w:left="708"/>
      </w:pPr>
      <w:r>
        <w:t>b) a panaszügyintézés helyéről, ha az nem egyezik meg a szolgáltatás helyével,</w:t>
      </w:r>
    </w:p>
    <w:p w:rsidR="00984238" w:rsidRDefault="00984238" w:rsidP="00984238">
      <w:pPr>
        <w:spacing w:line="240" w:lineRule="auto"/>
        <w:ind w:left="708"/>
      </w:pPr>
      <w:r>
        <w:t>c) a panaszkezelésnek az adott tevékenység sajátosságaihoz igazodó módjáról, valamint</w:t>
      </w:r>
    </w:p>
    <w:p w:rsidR="00984238" w:rsidRDefault="00984238" w:rsidP="00984238">
      <w:pPr>
        <w:spacing w:line="240" w:lineRule="auto"/>
        <w:ind w:left="708"/>
      </w:pPr>
      <w:r>
        <w:t>d) a panaszok közlése érdekében az ügyfélszolgálatának levelezési címéről és - ha a panaszokat ilyen módon is fogadja - elektronikus levelezési címéről, illetve internetes címéről, telefonszámáról.</w:t>
      </w:r>
    </w:p>
    <w:p w:rsidR="00984238" w:rsidRDefault="00984238" w:rsidP="00984238">
      <w:pPr>
        <w:spacing w:line="240" w:lineRule="auto"/>
      </w:pPr>
    </w:p>
    <w:p w:rsidR="00984238" w:rsidRDefault="00984238" w:rsidP="00984238">
      <w:pPr>
        <w:spacing w:line="240" w:lineRule="auto"/>
      </w:pPr>
      <w:r>
        <w:t xml:space="preserve">2. A tájékoztatásnak résztvevői jogvita esetén ki kell terjednie a résztvevő lakóhelye vagy tartózkodási helye szerint illetékes békéltető testületekhez való fordulás lehetőségére, valamint tartalmaznia kell a békéltető testület székhelyét, telefonos elérhetőségét, internetes elérhetőségét és levelezési címét. A békéltető testületekről történő tájékoztatási kötelezettséget világosan, érthetően és könnyen elérhető módon kell teljesíteni, internetes honlappal rendelkező képző intézmény </w:t>
      </w:r>
      <w:proofErr w:type="gramStart"/>
      <w:r>
        <w:t>esetén</w:t>
      </w:r>
      <w:proofErr w:type="gramEnd"/>
      <w:r>
        <w:t xml:space="preserve"> a honlapon, honlap hiányában az általános szerződési feltételekben, általános szerződési feltételek hiányában pedig külön formanyomtatványon. </w:t>
      </w:r>
    </w:p>
    <w:p w:rsidR="00984238" w:rsidRDefault="00984238" w:rsidP="00984238">
      <w:pPr>
        <w:spacing w:line="240" w:lineRule="auto"/>
      </w:pPr>
    </w:p>
    <w:p w:rsidR="00984238" w:rsidRDefault="00984238" w:rsidP="00984238">
      <w:pPr>
        <w:spacing w:line="240" w:lineRule="auto"/>
      </w:pPr>
      <w:r>
        <w:t>3. A résztvevő panaszát szóban vagy írásban közölheti a képző intézménnyel, illetve a képző intézmény érdekében vagy javára eljáró személlyel.</w:t>
      </w:r>
    </w:p>
    <w:p w:rsidR="00984238" w:rsidRDefault="00984238" w:rsidP="00984238">
      <w:pPr>
        <w:spacing w:line="240" w:lineRule="auto"/>
      </w:pPr>
    </w:p>
    <w:p w:rsidR="00984238" w:rsidRDefault="00984238" w:rsidP="00984238">
      <w:pPr>
        <w:spacing w:line="240" w:lineRule="auto"/>
      </w:pPr>
      <w:r>
        <w:t>4. A szóbeli panaszt azonnal meg kell vizsgálni, és szükség szerint orvosolni kell. Ha a résztvevő a panasz kezelésével nem ért egyet, vagy a panasz azonnali kivizsgálása nem lehetséges, a képző intézmény a panaszról és az azzal kapcsolatos álláspontjáról haladéktalanul köteles panaszkezelési űrlapot kitölteni, és annak egy másolati példányát</w:t>
      </w:r>
    </w:p>
    <w:p w:rsidR="00984238" w:rsidRDefault="00984238" w:rsidP="00984238">
      <w:pPr>
        <w:spacing w:line="240" w:lineRule="auto"/>
        <w:ind w:left="708"/>
      </w:pPr>
      <w:proofErr w:type="gramStart"/>
      <w:r>
        <w:t>a</w:t>
      </w:r>
      <w:proofErr w:type="gramEnd"/>
      <w:r>
        <w:t>) személyesen közölt szóbeli panasz esetén helyben a résztvevőnek átadni,</w:t>
      </w:r>
    </w:p>
    <w:p w:rsidR="00984238" w:rsidRDefault="00984238" w:rsidP="00984238">
      <w:pPr>
        <w:spacing w:line="240" w:lineRule="auto"/>
        <w:ind w:left="708"/>
      </w:pPr>
      <w:r>
        <w:t>b) telefonon vagy egyéb elektronikus hírközlési szolgáltatás felhasználásával közölt szóbeli panasz esetén a résztvevőnek legkésőbb a következő bekezdésben foglalt érdemi válasszal egyidejűleg megküldeni, egyebekben pedig az írásbeli panaszra vonatkozóan a (6) pontban írtak szerint köteles eljárni.</w:t>
      </w:r>
    </w:p>
    <w:p w:rsidR="00984238" w:rsidRDefault="00984238" w:rsidP="00984238">
      <w:pPr>
        <w:spacing w:line="240" w:lineRule="auto"/>
      </w:pPr>
    </w:p>
    <w:p w:rsidR="00984238" w:rsidRDefault="00984238" w:rsidP="00984238">
      <w:pPr>
        <w:spacing w:line="240" w:lineRule="auto"/>
      </w:pPr>
      <w:r>
        <w:t>5.  A telefonon vagy elektronikus hírközlési szolgáltatás felhasználásával közölt szóbeli panaszt a képző intézmény köteles egyedi azonosítószámmal ellátni.</w:t>
      </w:r>
    </w:p>
    <w:p w:rsidR="00984238" w:rsidRDefault="00984238" w:rsidP="00984238">
      <w:pPr>
        <w:spacing w:line="240" w:lineRule="auto"/>
      </w:pPr>
    </w:p>
    <w:p w:rsidR="00984238" w:rsidRDefault="00984238" w:rsidP="00984238">
      <w:pPr>
        <w:spacing w:line="240" w:lineRule="auto"/>
      </w:pPr>
      <w:r>
        <w:t>6. A panaszról felvett űrlapnak tartalmaznia kell az alábbiakat:</w:t>
      </w:r>
    </w:p>
    <w:p w:rsidR="00984238" w:rsidRDefault="00984238" w:rsidP="00984238">
      <w:pPr>
        <w:spacing w:line="240" w:lineRule="auto"/>
        <w:ind w:left="708"/>
      </w:pPr>
      <w:proofErr w:type="gramStart"/>
      <w:r>
        <w:t>a</w:t>
      </w:r>
      <w:proofErr w:type="gramEnd"/>
      <w:r>
        <w:t>) a résztvevő neve, lakcíme,</w:t>
      </w:r>
    </w:p>
    <w:p w:rsidR="00984238" w:rsidRDefault="00984238" w:rsidP="00984238">
      <w:pPr>
        <w:spacing w:line="240" w:lineRule="auto"/>
        <w:ind w:left="708"/>
      </w:pPr>
      <w:r>
        <w:t>b) a panasz előterjesztésének helye, ideje, módja,</w:t>
      </w:r>
    </w:p>
    <w:p w:rsidR="00984238" w:rsidRDefault="00984238" w:rsidP="00984238">
      <w:pPr>
        <w:spacing w:line="240" w:lineRule="auto"/>
        <w:ind w:left="708"/>
      </w:pPr>
      <w:r>
        <w:t xml:space="preserve">c) a résztvevő panaszának részletes leírása, a résztvevő által bemutatott iratok, </w:t>
      </w:r>
      <w:proofErr w:type="gramStart"/>
      <w:r>
        <w:t>dokumentumok</w:t>
      </w:r>
      <w:proofErr w:type="gramEnd"/>
      <w:r>
        <w:t xml:space="preserve"> és egyéb bizonyítékok jegyzéke,</w:t>
      </w:r>
    </w:p>
    <w:p w:rsidR="00984238" w:rsidRDefault="00984238" w:rsidP="00984238">
      <w:pPr>
        <w:spacing w:line="240" w:lineRule="auto"/>
        <w:ind w:left="708"/>
      </w:pPr>
      <w:r>
        <w:lastRenderedPageBreak/>
        <w:t>d) a képző intézmény nyilatkozata a résztvevő panaszával kapcsolatos álláspontjáról, amennyiben a panasz azonnali kivizsgálása lehetséges,</w:t>
      </w:r>
    </w:p>
    <w:p w:rsidR="00984238" w:rsidRDefault="00984238" w:rsidP="00984238">
      <w:pPr>
        <w:spacing w:line="240" w:lineRule="auto"/>
        <w:ind w:left="708"/>
      </w:pPr>
      <w:proofErr w:type="gramStart"/>
      <w:r>
        <w:t>e</w:t>
      </w:r>
      <w:proofErr w:type="gramEnd"/>
      <w:r>
        <w:t>) a jegyzőkönyvet felvevő személy és - telefonon vagy egyéb elektronikus hírközlési szolgáltatás felhasználásával közölt szóbeli panasz kivételével - a résztvevő aláírása,</w:t>
      </w:r>
    </w:p>
    <w:p w:rsidR="00984238" w:rsidRDefault="00984238" w:rsidP="00984238">
      <w:pPr>
        <w:spacing w:line="240" w:lineRule="auto"/>
        <w:ind w:left="708"/>
      </w:pPr>
      <w:proofErr w:type="gramStart"/>
      <w:r>
        <w:t>f</w:t>
      </w:r>
      <w:proofErr w:type="gramEnd"/>
      <w:r>
        <w:t>) a jegyzőkönyv felvételének helye, ideje,</w:t>
      </w:r>
    </w:p>
    <w:p w:rsidR="00984238" w:rsidRDefault="00984238" w:rsidP="00984238">
      <w:pPr>
        <w:spacing w:line="240" w:lineRule="auto"/>
        <w:ind w:left="708"/>
      </w:pPr>
      <w:proofErr w:type="gramStart"/>
      <w:r>
        <w:t>g</w:t>
      </w:r>
      <w:proofErr w:type="gramEnd"/>
      <w:r>
        <w:t>) telefonon vagy egyéb elektronikus hírközlési szolgáltatás felhasználásával közölt szóbeli panasz esetén a panasz egyedi azonosítószáma.</w:t>
      </w:r>
    </w:p>
    <w:p w:rsidR="00984238" w:rsidRDefault="00984238" w:rsidP="00984238">
      <w:pPr>
        <w:spacing w:line="240" w:lineRule="auto"/>
      </w:pPr>
    </w:p>
    <w:p w:rsidR="00984238" w:rsidRDefault="00984238" w:rsidP="00984238">
      <w:pPr>
        <w:spacing w:line="240" w:lineRule="auto"/>
      </w:pPr>
      <w:r>
        <w:t xml:space="preserve">7. Az írásbeli panaszt a képző intézmény - ha az Európai Unió közvetlenül alkalmazandó jogi aktusa eltérően nem rendelkezik - a beérkezését követően harminc napon belül köteles </w:t>
      </w:r>
      <w:proofErr w:type="gramStart"/>
      <w:r>
        <w:t>írásban érdemben</w:t>
      </w:r>
      <w:proofErr w:type="gramEnd"/>
      <w:r>
        <w:t xml:space="preserve"> megválaszolni és intézkedni annak közlése iránt. Ennél rövidebb határidőt jogszabály, hosszabb határidőt törvény állapíthat meg. A panaszt elutasító álláspontját a képző intézmény indokolni köteles.</w:t>
      </w:r>
    </w:p>
    <w:p w:rsidR="00984238" w:rsidRDefault="00984238" w:rsidP="00984238">
      <w:pPr>
        <w:spacing w:line="240" w:lineRule="auto"/>
      </w:pPr>
      <w:r>
        <w:t>8. A képző intézmény a panaszról felvett jegyzőkönyvet (panaszkezelési űrlapot) és a válasz másolati példányát öt évig köteles megőrizni, és azt az ellenőrző hatóságoknak kérésükre bemutatni.</w:t>
      </w:r>
    </w:p>
    <w:p w:rsidR="00984238" w:rsidRDefault="00984238" w:rsidP="00984238">
      <w:pPr>
        <w:spacing w:line="240" w:lineRule="auto"/>
      </w:pPr>
      <w:r>
        <w:t>9.  A panasz elutasítása esetén a képző intézmény köteles a résztvevőt írásban tájékoztatni arról, hogy panaszával - annak jellege szerint - mely hatóság vagy békéltető testület eljárását kezdeményezheti. A tájékoztatásnak tartalmaznia kell továbbá az illetékes hatóság, illetve a résztvevő lakóhelye vagy tartózkodási helye szerinti békéltető testület székhelyét, telefonos és internetes elérhetőségét, valamint levelezési címét. A tájékoztatásnak arra is ki kell terjednie, hogy a képző intézmény a résztvevői jogvita rendezése érdekében igénybe veszi-e a békéltető testületi eljárást.</w:t>
      </w:r>
    </w:p>
    <w:p w:rsidR="00984238" w:rsidRDefault="00984238" w:rsidP="00984238">
      <w:pPr>
        <w:spacing w:line="240" w:lineRule="auto"/>
      </w:pPr>
      <w:r>
        <w:t>A képző intézménynek vezetnie kell a panaszkezelés dokumentációját, az eredmények pedig a vezetőségi átvizsgálás bemeneti adatait képezik. Az intézmény vezetőségének feladata az esetekből levont tanulságokat feldolgozni és ismétlődő panasz esetén megelőzésére megoldásokat kidolgozni.</w:t>
      </w:r>
    </w:p>
    <w:p w:rsidR="00984238" w:rsidRDefault="00984238" w:rsidP="00984238">
      <w:pPr>
        <w:spacing w:line="240" w:lineRule="auto"/>
      </w:pPr>
      <w:r>
        <w:t xml:space="preserve">Panasznak minősül a panasztevő nevével ellátott és </w:t>
      </w:r>
      <w:proofErr w:type="gramStart"/>
      <w:r>
        <w:t>konkrét</w:t>
      </w:r>
      <w:proofErr w:type="gramEnd"/>
      <w:r>
        <w:t xml:space="preserve"> esetre történő észrevétel, beadvány, elsősorban írásos formában, de a szóbeli panaszokat is fogadja az intézmény. A képzési folyamat valamennyi fázisában törekedni kell a panaszok okainak megszüntetésére. </w:t>
      </w:r>
    </w:p>
    <w:p w:rsidR="00984238" w:rsidRDefault="00984238" w:rsidP="00984238">
      <w:pPr>
        <w:spacing w:line="240" w:lineRule="auto"/>
      </w:pPr>
      <w:r>
        <w:t>A képzésben résztvevőket a képzés kezdetekor tájékoztatjuk a panaszkezelés rendjéről.</w:t>
      </w:r>
    </w:p>
    <w:p w:rsidR="00984238" w:rsidRDefault="00984238" w:rsidP="00984238">
      <w:pPr>
        <w:spacing w:line="240" w:lineRule="auto"/>
      </w:pPr>
      <w:bookmarkStart w:id="1" w:name="_GoBack"/>
      <w:bookmarkEnd w:id="1"/>
    </w:p>
    <w:p w:rsidR="00B73C36" w:rsidRDefault="00984238" w:rsidP="00984238">
      <w:r>
        <w:rPr>
          <w:b/>
          <w:bCs/>
        </w:rPr>
        <w:t xml:space="preserve">Keletkező </w:t>
      </w:r>
      <w:proofErr w:type="gramStart"/>
      <w:r>
        <w:rPr>
          <w:b/>
          <w:bCs/>
        </w:rPr>
        <w:t>dokumentumok</w:t>
      </w:r>
      <w:proofErr w:type="gramEnd"/>
      <w:r>
        <w:rPr>
          <w:b/>
          <w:bCs/>
        </w:rPr>
        <w:t xml:space="preserve">: </w:t>
      </w:r>
      <w:bookmarkStart w:id="2" w:name="_Toc382562832"/>
      <w:bookmarkStart w:id="3" w:name="_Toc382563007"/>
      <w:bookmarkStart w:id="4" w:name="_Toc382563181"/>
      <w:bookmarkStart w:id="5" w:name="_Toc382563355"/>
      <w:bookmarkStart w:id="6" w:name="_Toc382670854"/>
      <w:bookmarkStart w:id="7" w:name="_Toc382815071"/>
      <w:bookmarkStart w:id="8" w:name="_Toc383179776"/>
      <w:bookmarkStart w:id="9" w:name="_Toc383772483"/>
      <w:bookmarkStart w:id="10" w:name="_Toc384045214"/>
      <w:bookmarkStart w:id="11" w:name="_Toc384045425"/>
      <w:bookmarkStart w:id="12" w:name="_Toc384045634"/>
      <w:bookmarkStart w:id="13" w:name="_Toc384045842"/>
      <w:bookmarkStart w:id="14" w:name="_Toc384046050"/>
      <w:bookmarkStart w:id="15" w:name="_Toc384109175"/>
      <w:bookmarkStart w:id="16" w:name="_Toc384109475"/>
      <w:bookmarkStart w:id="17" w:name="_Toc384109683"/>
      <w:bookmarkStart w:id="18" w:name="_Toc384111293"/>
      <w:bookmarkStart w:id="19" w:name="_Toc384227571"/>
      <w:bookmarkStart w:id="20" w:name="_Toc384227785"/>
      <w:bookmarkStart w:id="21" w:name="_Toc384227999"/>
      <w:bookmarkStart w:id="22" w:name="_Toc384228212"/>
      <w:bookmarkStart w:id="23" w:name="_Toc384228423"/>
      <w:bookmarkStart w:id="24" w:name="_Toc38432389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t>U05A: Panaszfelvételi űrlap; U05B: Panaszkezelési űrlap</w:t>
      </w:r>
    </w:p>
    <w:sectPr w:rsidR="00B73C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743" w:rsidRDefault="00196743" w:rsidP="00984238">
      <w:pPr>
        <w:spacing w:before="0" w:line="240" w:lineRule="auto"/>
      </w:pPr>
      <w:r>
        <w:separator/>
      </w:r>
    </w:p>
  </w:endnote>
  <w:endnote w:type="continuationSeparator" w:id="0">
    <w:p w:rsidR="00196743" w:rsidRDefault="00196743" w:rsidP="0098423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743" w:rsidRDefault="00196743" w:rsidP="00984238">
      <w:pPr>
        <w:spacing w:before="0" w:line="240" w:lineRule="auto"/>
      </w:pPr>
      <w:r>
        <w:separator/>
      </w:r>
    </w:p>
  </w:footnote>
  <w:footnote w:type="continuationSeparator" w:id="0">
    <w:p w:rsidR="00196743" w:rsidRDefault="00196743" w:rsidP="0098423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38" w:rsidRPr="00984238" w:rsidRDefault="00984238" w:rsidP="00984238">
    <w:pPr>
      <w:tabs>
        <w:tab w:val="center" w:pos="142"/>
        <w:tab w:val="center" w:pos="4680"/>
        <w:tab w:val="right" w:pos="9072"/>
        <w:tab w:val="right" w:pos="9360"/>
      </w:tabs>
      <w:suppressAutoHyphens w:val="0"/>
      <w:spacing w:before="0"/>
      <w:jc w:val="left"/>
    </w:pPr>
    <w:r w:rsidRPr="00984238">
      <w:t>Budapesti Gazdasági Szakképzési Centrum</w:t>
    </w:r>
  </w:p>
  <w:p w:rsidR="00984238" w:rsidRPr="00984238" w:rsidRDefault="00984238" w:rsidP="00984238">
    <w:pPr>
      <w:pBdr>
        <w:bottom w:val="single" w:sz="6" w:space="1" w:color="000000"/>
      </w:pBdr>
      <w:tabs>
        <w:tab w:val="center" w:pos="4680"/>
        <w:tab w:val="right" w:pos="9360"/>
      </w:tabs>
      <w:suppressAutoHyphens w:val="0"/>
      <w:spacing w:before="0"/>
    </w:pPr>
    <w:r w:rsidRPr="00984238">
      <w:t>Engedélyszám: E/2020/000184</w:t>
    </w:r>
    <w:r w:rsidRPr="00984238">
      <w:tab/>
    </w:r>
    <w:r w:rsidRPr="00984238">
      <w:tab/>
      <w:t>Minőségirányítási Kézikönyv</w:t>
    </w:r>
  </w:p>
  <w:p w:rsidR="00984238" w:rsidRPr="00984238" w:rsidRDefault="00984238" w:rsidP="00984238">
    <w:pPr>
      <w:tabs>
        <w:tab w:val="left" w:pos="1407"/>
      </w:tabs>
      <w:rPr>
        <w:rFonts w:ascii="Calibri Light" w:hAnsi="Calibri Light"/>
        <w:sz w:val="2"/>
        <w:szCs w:val="2"/>
        <w:lang w:eastAsia="hu-HU"/>
      </w:rPr>
    </w:pPr>
  </w:p>
  <w:p w:rsidR="00984238" w:rsidRDefault="00984238">
    <w:pPr>
      <w:pStyle w:val="lfej"/>
    </w:pPr>
  </w:p>
  <w:p w:rsidR="00984238" w:rsidRDefault="0098423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D6A54"/>
    <w:multiLevelType w:val="multilevel"/>
    <w:tmpl w:val="F34074A0"/>
    <w:styleLink w:val="WWOutlineListStyle12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858" w:hanging="432"/>
      </w:pPr>
    </w:lvl>
    <w:lvl w:ilvl="2">
      <w:start w:val="1"/>
      <w:numFmt w:val="decimal"/>
      <w:pStyle w:val="Cmsor3"/>
      <w:lvlText w:val="%1.%2.%3."/>
      <w:lvlJc w:val="left"/>
      <w:pPr>
        <w:ind w:left="1212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38"/>
    <w:rsid w:val="00196743"/>
    <w:rsid w:val="0028214E"/>
    <w:rsid w:val="008F1759"/>
    <w:rsid w:val="00984238"/>
    <w:rsid w:val="00F1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7737"/>
  <w15:chartTrackingRefBased/>
  <w15:docId w15:val="{E1B9DB17-AE48-4196-80EC-8DB6C64C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84238"/>
    <w:pPr>
      <w:suppressAutoHyphens/>
      <w:autoSpaceDN w:val="0"/>
      <w:spacing w:before="120" w:after="0" w:line="360" w:lineRule="auto"/>
      <w:jc w:val="both"/>
      <w:textAlignment w:val="baseline"/>
    </w:pPr>
    <w:rPr>
      <w:rFonts w:ascii="Calibri" w:eastAsia="Calibri" w:hAnsi="Calibri" w:cs="Calibri"/>
      <w:kern w:val="3"/>
    </w:rPr>
  </w:style>
  <w:style w:type="paragraph" w:styleId="Cmsor1">
    <w:name w:val="heading 1"/>
    <w:basedOn w:val="Norml"/>
    <w:next w:val="Norml"/>
    <w:link w:val="Cmsor1Char"/>
    <w:rsid w:val="00984238"/>
    <w:pPr>
      <w:keepNext/>
      <w:keepLines/>
      <w:numPr>
        <w:numId w:val="1"/>
      </w:numPr>
      <w:spacing w:before="360" w:after="360" w:line="240" w:lineRule="auto"/>
      <w:jc w:val="left"/>
      <w:outlineLvl w:val="0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Cmsor2">
    <w:name w:val="heading 2"/>
    <w:basedOn w:val="Norml"/>
    <w:next w:val="Norml"/>
    <w:link w:val="Cmsor2Char"/>
    <w:rsid w:val="00984238"/>
    <w:pPr>
      <w:keepNext/>
      <w:keepLines/>
      <w:numPr>
        <w:ilvl w:val="1"/>
        <w:numId w:val="1"/>
      </w:numPr>
      <w:spacing w:before="240" w:after="240"/>
      <w:outlineLvl w:val="1"/>
    </w:pPr>
    <w:rPr>
      <w:rFonts w:eastAsia="Times New Roman"/>
      <w:b/>
      <w:bCs/>
    </w:rPr>
  </w:style>
  <w:style w:type="paragraph" w:styleId="Cmsor3">
    <w:name w:val="heading 3"/>
    <w:basedOn w:val="Norml"/>
    <w:next w:val="Norml"/>
    <w:link w:val="Cmsor3Char"/>
    <w:rsid w:val="00984238"/>
    <w:pPr>
      <w:keepNext/>
      <w:keepLines/>
      <w:numPr>
        <w:ilvl w:val="2"/>
        <w:numId w:val="1"/>
      </w:numPr>
      <w:spacing w:after="120"/>
      <w:jc w:val="left"/>
      <w:outlineLvl w:val="2"/>
    </w:pPr>
    <w:rPr>
      <w:rFonts w:eastAsia="Times New Roman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84238"/>
    <w:rPr>
      <w:rFonts w:ascii="Calibri Light" w:eastAsia="Times New Roman" w:hAnsi="Calibri Light" w:cs="Calibri"/>
      <w:b/>
      <w:bCs/>
      <w:color w:val="5B9BD5"/>
      <w:kern w:val="3"/>
      <w:sz w:val="26"/>
      <w:szCs w:val="26"/>
    </w:rPr>
  </w:style>
  <w:style w:type="character" w:customStyle="1" w:styleId="Cmsor2Char">
    <w:name w:val="Címsor 2 Char"/>
    <w:basedOn w:val="Bekezdsalapbettpusa"/>
    <w:link w:val="Cmsor2"/>
    <w:rsid w:val="00984238"/>
    <w:rPr>
      <w:rFonts w:ascii="Calibri" w:eastAsia="Times New Roman" w:hAnsi="Calibri" w:cs="Calibri"/>
      <w:b/>
      <w:bCs/>
      <w:kern w:val="3"/>
    </w:rPr>
  </w:style>
  <w:style w:type="character" w:customStyle="1" w:styleId="Cmsor3Char">
    <w:name w:val="Címsor 3 Char"/>
    <w:basedOn w:val="Bekezdsalapbettpusa"/>
    <w:link w:val="Cmsor3"/>
    <w:rsid w:val="00984238"/>
    <w:rPr>
      <w:rFonts w:ascii="Calibri" w:eastAsia="Times New Roman" w:hAnsi="Calibri" w:cs="Calibri"/>
      <w:b/>
      <w:bCs/>
      <w:i/>
      <w:kern w:val="3"/>
    </w:rPr>
  </w:style>
  <w:style w:type="numbering" w:customStyle="1" w:styleId="WWOutlineListStyle12">
    <w:name w:val="WW_OutlineListStyle_12"/>
    <w:basedOn w:val="Nemlista"/>
    <w:rsid w:val="00984238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98423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4238"/>
    <w:rPr>
      <w:rFonts w:ascii="Calibri" w:eastAsia="Calibri" w:hAnsi="Calibri" w:cs="Calibri"/>
      <w:kern w:val="3"/>
    </w:rPr>
  </w:style>
  <w:style w:type="paragraph" w:styleId="llb">
    <w:name w:val="footer"/>
    <w:basedOn w:val="Norml"/>
    <w:link w:val="llbChar"/>
    <w:uiPriority w:val="99"/>
    <w:unhideWhenUsed/>
    <w:rsid w:val="0098423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4238"/>
    <w:rPr>
      <w:rFonts w:ascii="Calibri" w:eastAsia="Calibri" w:hAnsi="Calibri" w:cs="Calibri"/>
      <w:kern w:val="3"/>
    </w:rPr>
  </w:style>
  <w:style w:type="numbering" w:customStyle="1" w:styleId="WWOutlineListStyle121">
    <w:name w:val="WW_OutlineListStyle_121"/>
    <w:basedOn w:val="Nemlista"/>
    <w:rsid w:val="0098423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2022-02-14T11:28:00Z</dcterms:created>
  <dcterms:modified xsi:type="dcterms:W3CDTF">2022-02-14T11:32:00Z</dcterms:modified>
</cp:coreProperties>
</file>